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15554" w14:textId="77777777" w:rsidR="00732497" w:rsidRPr="001463EC" w:rsidRDefault="00732497" w:rsidP="00732497">
      <w:pPr>
        <w:pStyle w:val="lfej"/>
        <w:jc w:val="center"/>
        <w:rPr>
          <w:rFonts w:ascii="Arial" w:hAnsi="Arial" w:cs="Arial"/>
          <w:sz w:val="24"/>
          <w:szCs w:val="24"/>
          <w:u w:val="single"/>
        </w:rPr>
      </w:pPr>
      <w:r w:rsidRPr="001463EC">
        <w:rPr>
          <w:rFonts w:ascii="Arial" w:hAnsi="Arial" w:cs="Arial"/>
          <w:b/>
          <w:sz w:val="24"/>
          <w:szCs w:val="24"/>
          <w:u w:val="single"/>
        </w:rPr>
        <w:t>SYLLABUS FOR THE PREPARATION FOR A MOBILITY PROGRAMME FOR DISABLED YOUNG PEOPLE</w:t>
      </w:r>
    </w:p>
    <w:p w14:paraId="20906672" w14:textId="77777777" w:rsidR="005D75AC" w:rsidRPr="00732497" w:rsidRDefault="005D75AC" w:rsidP="00732497">
      <w:pPr>
        <w:spacing w:line="360" w:lineRule="auto"/>
        <w:rPr>
          <w:rFonts w:ascii="Arial" w:hAnsi="Arial" w:cs="Arial"/>
          <w:sz w:val="20"/>
          <w:szCs w:val="20"/>
        </w:rPr>
      </w:pPr>
    </w:p>
    <w:p w14:paraId="7E319B3F" w14:textId="77777777" w:rsidR="00C53962" w:rsidRPr="00C53962" w:rsidRDefault="00C53962" w:rsidP="00732497">
      <w:p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Instructor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(s): [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Instructor's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Name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]</w:t>
      </w: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br/>
        <w:t>Email: [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Instructor's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Email]</w:t>
      </w:r>
    </w:p>
    <w:p w14:paraId="501DC914" w14:textId="77777777" w:rsidR="00C53962" w:rsidRPr="00C53962" w:rsidRDefault="00C53962" w:rsidP="0073249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Course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Description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This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aims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empower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accompanying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individuals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with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disabilities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participating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international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mobility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programs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such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Solidarity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Corps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short-term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volunteering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Erasmus+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exchanges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. The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tailored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curriculum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fosters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inclusivity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provides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practical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insights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addresses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unique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considerations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associated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with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diverse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abilities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. The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goal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is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equip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participants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with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necessary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knowledge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skills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support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enhance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international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experience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individuals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with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disabilities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.</w:t>
      </w:r>
    </w:p>
    <w:p w14:paraId="21B7F496" w14:textId="77777777" w:rsidR="00C53962" w:rsidRPr="00C53962" w:rsidRDefault="00C53962" w:rsidP="0073249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Learners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'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Needs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The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caters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diverse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needs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accompanying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preparing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international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programs.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focuses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making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materials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accessible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considering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various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styles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providing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emotional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support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practical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guidance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fostering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supportive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community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.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Continuous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feedback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ensures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that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effectively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meets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specific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requirements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each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accompanying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.</w:t>
      </w:r>
    </w:p>
    <w:p w14:paraId="292EDCAF" w14:textId="77777777" w:rsidR="00C53962" w:rsidRPr="00C53962" w:rsidRDefault="00C53962" w:rsidP="0073249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Course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Goals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Participants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who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successfully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complete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this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will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be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able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understand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structure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mobility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programs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support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rights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responsibilities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participants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provide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assistance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during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their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stay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guide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their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evaluation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offer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practical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information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traveling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staying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another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country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under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EU-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funded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mobility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projects.</w:t>
      </w:r>
    </w:p>
    <w:p w14:paraId="05D4F647" w14:textId="77777777" w:rsidR="00C53962" w:rsidRPr="00C53962" w:rsidRDefault="00C53962" w:rsidP="00732497">
      <w:p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Major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Topics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</w:p>
    <w:p w14:paraId="55F8A6F5" w14:textId="77777777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1: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Introduction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International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Programs</w:t>
      </w:r>
      <w:proofErr w:type="spellEnd"/>
    </w:p>
    <w:p w14:paraId="3F29E271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Overview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Solidarity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Corps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Erasmus+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exchanges</w:t>
      </w:r>
      <w:proofErr w:type="spellEnd"/>
    </w:p>
    <w:p w14:paraId="44E0CFEF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Importance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inclusivity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international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mobility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programs</w:t>
      </w:r>
      <w:proofErr w:type="spellEnd"/>
    </w:p>
    <w:p w14:paraId="78C26E7B" w14:textId="2EEF1C68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 w:rsidRP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2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Inclusive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Dynamics of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Exchanges</w:t>
      </w:r>
      <w:proofErr w:type="spellEnd"/>
    </w:p>
    <w:p w14:paraId="561552C1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Adapting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activities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diverse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abilities</w:t>
      </w:r>
      <w:proofErr w:type="spellEnd"/>
    </w:p>
    <w:p w14:paraId="0B148983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Fostering a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collaborative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environment</w:t>
      </w:r>
      <w:proofErr w:type="spellEnd"/>
    </w:p>
    <w:p w14:paraId="2DEC2070" w14:textId="72E8CE18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3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Logistics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and Financial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Aspects</w:t>
      </w:r>
      <w:proofErr w:type="spellEnd"/>
    </w:p>
    <w:p w14:paraId="56A524DB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Accessibility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considerations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travel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accommodation</w:t>
      </w:r>
      <w:proofErr w:type="spellEnd"/>
    </w:p>
    <w:p w14:paraId="1883B9EE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Financial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aspects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funding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options</w:t>
      </w:r>
      <w:proofErr w:type="spellEnd"/>
    </w:p>
    <w:p w14:paraId="1080A72C" w14:textId="3011D7CB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4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Inclusive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Benefits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Coverage</w:t>
      </w:r>
      <w:proofErr w:type="spellEnd"/>
    </w:p>
    <w:p w14:paraId="3299EFF1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professional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development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opportunities</w:t>
      </w:r>
      <w:proofErr w:type="spellEnd"/>
    </w:p>
    <w:p w14:paraId="5696C9CA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lastRenderedPageBreak/>
        <w:t>Accessible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insurance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coverage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additional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funding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programs</w:t>
      </w:r>
      <w:proofErr w:type="spellEnd"/>
    </w:p>
    <w:p w14:paraId="71C83108" w14:textId="35F36D67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 w:rsidRP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5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Short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-Term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Volunteering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with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European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Solidarity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Corps</w:t>
      </w:r>
      <w:proofErr w:type="spellEnd"/>
    </w:p>
    <w:p w14:paraId="280DFA44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Introduction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eligibility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criteria</w:t>
      </w:r>
      <w:proofErr w:type="spellEnd"/>
    </w:p>
    <w:p w14:paraId="3B46CE02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Overview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cross-border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volunteering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projects</w:t>
      </w:r>
      <w:proofErr w:type="spellEnd"/>
    </w:p>
    <w:p w14:paraId="2659EB42" w14:textId="0B79CA6C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 w:rsidRP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6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Launching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Your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Volunteering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Journey</w:t>
      </w:r>
      <w:proofErr w:type="spellEnd"/>
    </w:p>
    <w:p w14:paraId="62A31638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Motivation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goal-setting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diverse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participants</w:t>
      </w:r>
      <w:proofErr w:type="spellEnd"/>
    </w:p>
    <w:p w14:paraId="25985AFB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Tailoring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project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selection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to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individual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interests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abilities</w:t>
      </w:r>
      <w:proofErr w:type="spellEnd"/>
    </w:p>
    <w:p w14:paraId="60E71397" w14:textId="623E5CEA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 w:rsidRP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7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Real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Stories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Experiences</w:t>
      </w:r>
      <w:proofErr w:type="spellEnd"/>
    </w:p>
    <w:p w14:paraId="1BE781D7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Guest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speakers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sharing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diverse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Exchange and 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Solidarity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Corps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experiences</w:t>
      </w:r>
      <w:proofErr w:type="spellEnd"/>
    </w:p>
    <w:p w14:paraId="1B6CE3DC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Q&amp;A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sessions</w:t>
      </w:r>
      <w:proofErr w:type="spellEnd"/>
    </w:p>
    <w:p w14:paraId="3B6E1EBA" w14:textId="6CD9CA78" w:rsidR="00C53962" w:rsidRPr="00C53962" w:rsidRDefault="00C53962" w:rsidP="00732497">
      <w:pPr>
        <w:numPr>
          <w:ilvl w:val="0"/>
          <w:numId w:val="11"/>
        </w:numPr>
        <w:spacing w:line="360" w:lineRule="auto"/>
        <w:rPr>
          <w:rFonts w:ascii="Arial" w:eastAsia="Times New Roman" w:hAnsi="Arial" w:cs="Arial"/>
          <w:b/>
          <w:sz w:val="20"/>
          <w:szCs w:val="20"/>
          <w:lang w:val="hu-HU" w:eastAsia="hu-HU"/>
        </w:rPr>
      </w:pPr>
      <w:bookmarkStart w:id="0" w:name="_GoBack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Session </w:t>
      </w:r>
      <w:r w:rsidR="00732497" w:rsidRPr="00732497">
        <w:rPr>
          <w:rFonts w:ascii="Arial" w:eastAsia="Times New Roman" w:hAnsi="Arial" w:cs="Arial"/>
          <w:b/>
          <w:sz w:val="20"/>
          <w:szCs w:val="20"/>
          <w:lang w:val="hu-HU" w:eastAsia="hu-HU"/>
        </w:rPr>
        <w:t>8</w:t>
      </w:r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: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Wrapping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Up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Moving</w:t>
      </w:r>
      <w:proofErr w:type="spellEnd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b/>
          <w:sz w:val="20"/>
          <w:szCs w:val="20"/>
          <w:lang w:val="hu-HU" w:eastAsia="hu-HU"/>
        </w:rPr>
        <w:t>Forward</w:t>
      </w:r>
      <w:proofErr w:type="spellEnd"/>
    </w:p>
    <w:bookmarkEnd w:id="0"/>
    <w:p w14:paraId="0A9D9B11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Reflection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journey</w:t>
      </w:r>
      <w:proofErr w:type="spellEnd"/>
    </w:p>
    <w:p w14:paraId="5B529851" w14:textId="77777777" w:rsidR="00C53962" w:rsidRPr="00C53962" w:rsidRDefault="00C53962" w:rsidP="00732497">
      <w:pPr>
        <w:numPr>
          <w:ilvl w:val="1"/>
          <w:numId w:val="11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Post-program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opportunities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staying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connected</w:t>
      </w:r>
      <w:proofErr w:type="spellEnd"/>
    </w:p>
    <w:p w14:paraId="0AAA3DA9" w14:textId="77777777" w:rsidR="00C53962" w:rsidRPr="00C53962" w:rsidRDefault="00C53962" w:rsidP="00732497">
      <w:p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Materials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 and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Resources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</w:p>
    <w:p w14:paraId="400C34E4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Solidarity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Corps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Official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Website</w:t>
      </w:r>
    </w:p>
    <w:p w14:paraId="2F55E705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Erasmus+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Exchanges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Resources</w:t>
      </w:r>
      <w:proofErr w:type="spellEnd"/>
    </w:p>
    <w:p w14:paraId="0D8C7CA4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Accessibility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Guides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from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European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Agency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Special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Needs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Education</w:t>
      </w:r>
    </w:p>
    <w:p w14:paraId="6196608A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Online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Platforms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including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SALTO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</w:p>
    <w:p w14:paraId="61027A7A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United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Nations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Enable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Resources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Disability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Inclusion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Accessibility</w:t>
      </w:r>
      <w:proofErr w:type="spellEnd"/>
    </w:p>
    <w:p w14:paraId="37218D30" w14:textId="77777777" w:rsidR="00C53962" w:rsidRPr="00C53962" w:rsidRDefault="00C53962" w:rsidP="00732497">
      <w:pPr>
        <w:numPr>
          <w:ilvl w:val="0"/>
          <w:numId w:val="12"/>
        </w:numPr>
        <w:spacing w:line="360" w:lineRule="auto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Youthpass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Guide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Recognition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of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in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Youth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Exchanges</w:t>
      </w:r>
      <w:proofErr w:type="spellEnd"/>
    </w:p>
    <w:p w14:paraId="1D322F60" w14:textId="77777777" w:rsidR="00C53962" w:rsidRPr="00C53962" w:rsidRDefault="00C53962" w:rsidP="0073249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hu-HU" w:eastAsia="hu-HU"/>
        </w:rPr>
      </w:pP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Assessment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 xml:space="preserve"> </w:t>
      </w:r>
      <w:proofErr w:type="spellStart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Methods</w:t>
      </w:r>
      <w:proofErr w:type="spellEnd"/>
      <w:r w:rsidRPr="00732497">
        <w:rPr>
          <w:rFonts w:ascii="Arial" w:eastAsia="Times New Roman" w:hAnsi="Arial" w:cs="Arial"/>
          <w:b/>
          <w:bCs/>
          <w:sz w:val="20"/>
          <w:szCs w:val="20"/>
          <w:lang w:val="hu-HU" w:eastAsia="hu-HU"/>
        </w:rPr>
        <w:t>:</w:t>
      </w:r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Assessment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methods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accompanying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include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casual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conversations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goal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check-ins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real-world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tasks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reflective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chats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role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plays,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ongoing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feedback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personal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projects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story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sharing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, an end-of-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course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reflection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, and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collaborative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goal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reviews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.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These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methods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are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customized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for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gram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a</w:t>
      </w:r>
      <w:proofErr w:type="gram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one-on-one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learning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 xml:space="preserve"> </w:t>
      </w:r>
      <w:proofErr w:type="spellStart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setting</w:t>
      </w:r>
      <w:proofErr w:type="spellEnd"/>
      <w:r w:rsidRPr="00C53962">
        <w:rPr>
          <w:rFonts w:ascii="Arial" w:eastAsia="Times New Roman" w:hAnsi="Arial" w:cs="Arial"/>
          <w:sz w:val="20"/>
          <w:szCs w:val="20"/>
          <w:lang w:val="hu-HU" w:eastAsia="hu-HU"/>
        </w:rPr>
        <w:t>.</w:t>
      </w:r>
    </w:p>
    <w:sectPr w:rsidR="00C53962" w:rsidRPr="00C53962" w:rsidSect="00D95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F5CE" w14:textId="77777777" w:rsidR="00C64A28" w:rsidRDefault="00C64A28" w:rsidP="00D95C5D">
      <w:pPr>
        <w:spacing w:after="0" w:line="240" w:lineRule="auto"/>
      </w:pPr>
      <w:r>
        <w:separator/>
      </w:r>
    </w:p>
  </w:endnote>
  <w:endnote w:type="continuationSeparator" w:id="0">
    <w:p w14:paraId="53E2C5F0" w14:textId="77777777" w:rsidR="00C64A28" w:rsidRDefault="00C64A28" w:rsidP="00D9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atliches">
    <w:panose1 w:val="00000000000000000000"/>
    <w:charset w:val="EE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9CFE1" w14:textId="77777777" w:rsidR="00E04EA7" w:rsidRDefault="00E04E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73A4" w14:textId="77777777" w:rsidR="00E04EA7" w:rsidRDefault="00E04EA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78E77" w14:textId="77777777" w:rsidR="00E04EA7" w:rsidRDefault="00E04E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26828" w14:textId="77777777" w:rsidR="00C64A28" w:rsidRDefault="00C64A28" w:rsidP="00D95C5D">
      <w:pPr>
        <w:spacing w:after="0" w:line="240" w:lineRule="auto"/>
      </w:pPr>
      <w:r>
        <w:separator/>
      </w:r>
    </w:p>
  </w:footnote>
  <w:footnote w:type="continuationSeparator" w:id="0">
    <w:p w14:paraId="57CBAC93" w14:textId="77777777" w:rsidR="00C64A28" w:rsidRDefault="00C64A28" w:rsidP="00D9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1EE1" w14:textId="77777777" w:rsidR="00E04EA7" w:rsidRDefault="00E04E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9DDF" w14:textId="77777777" w:rsidR="00724BE1" w:rsidRDefault="00863D02" w:rsidP="00724BE1">
    <w:pPr>
      <w:pStyle w:val="lfej"/>
      <w:jc w:val="right"/>
      <w:rPr>
        <w:rFonts w:ascii="Staatliches" w:eastAsia="Arial Unicode MS" w:hAnsi="Staatliches" w:cs="Arial Unicode MS"/>
        <w:b/>
        <w:bCs/>
        <w:color w:val="004493"/>
        <w:spacing w:val="30"/>
      </w:rPr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78FC623F" wp14:editId="0551FD4E">
          <wp:simplePos x="0" y="0"/>
          <wp:positionH relativeFrom="column">
            <wp:posOffset>5420360</wp:posOffset>
          </wp:positionH>
          <wp:positionV relativeFrom="paragraph">
            <wp:posOffset>-302450</wp:posOffset>
          </wp:positionV>
          <wp:extent cx="1184860" cy="600075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2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8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8B5"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56F5AE6" wp14:editId="0BFF00ED">
          <wp:simplePos x="0" y="0"/>
          <wp:positionH relativeFrom="margin">
            <wp:posOffset>-434340</wp:posOffset>
          </wp:positionH>
          <wp:positionV relativeFrom="paragraph">
            <wp:posOffset>-272415</wp:posOffset>
          </wp:positionV>
          <wp:extent cx="1301750" cy="521335"/>
          <wp:effectExtent l="38100" t="38100" r="88900" b="69215"/>
          <wp:wrapNone/>
          <wp:docPr id="1073741826" name="officeArt object" descr="Ké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Kép" descr="Kép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1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C5E09" w14:textId="77777777" w:rsidR="00D95C5D" w:rsidRPr="00BA48F3" w:rsidRDefault="00D95C5D" w:rsidP="00863D02">
    <w:pPr>
      <w:pStyle w:val="lfej"/>
      <w:ind w:left="113"/>
      <w:jc w:val="center"/>
      <w:rPr>
        <w:rFonts w:ascii="Staatliches" w:hAnsi="Staatliches" w:cs="Arial"/>
        <w:color w:val="004493"/>
        <w:spacing w:val="30"/>
        <w:sz w:val="30"/>
        <w:szCs w:val="30"/>
      </w:rPr>
    </w:pPr>
    <w:r w:rsidRPr="00BA48F3">
      <w:rPr>
        <w:rFonts w:ascii="Staatliches" w:eastAsia="Arial Unicode MS" w:hAnsi="Staatliches" w:cs="Arial"/>
        <w:bCs/>
        <w:color w:val="004493"/>
        <w:spacing w:val="30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DISABLED NOT UNABLE</w:t>
    </w:r>
  </w:p>
  <w:p w14:paraId="00A059F0" w14:textId="77777777" w:rsidR="00D95C5D" w:rsidRPr="00BA48F3" w:rsidRDefault="00B228B5" w:rsidP="00863D02">
    <w:pPr>
      <w:pStyle w:val="Fejlcslblc"/>
      <w:tabs>
        <w:tab w:val="clear" w:pos="9020"/>
        <w:tab w:val="center" w:pos="4819"/>
        <w:tab w:val="right" w:pos="9638"/>
      </w:tabs>
      <w:spacing w:line="360" w:lineRule="auto"/>
      <w:ind w:left="113"/>
      <w:jc w:val="center"/>
      <w:rPr>
        <w:rFonts w:ascii="Staatliches" w:eastAsia="Arial" w:hAnsi="Staatliches" w:cs="Arial"/>
        <w:color w:val="004493"/>
        <w:spacing w:val="3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A48F3">
      <w:rPr>
        <w:rFonts w:ascii="Staatliches" w:hAnsi="Staatliches" w:cs="Arial"/>
        <w:color w:val="004493"/>
        <w:spacing w:val="3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r w:rsidRPr="00BA48F3">
      <w:rPr>
        <w:rFonts w:ascii="Staatliches" w:hAnsi="Staatliches" w:cs="Arial"/>
        <w:color w:val="004493"/>
        <w:spacing w:val="30"/>
        <w:sz w:val="14"/>
        <w:szCs w:val="1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NCREASING THE INCLUSIVE CHARACTER OF INTERNATIONAL</w:t>
    </w:r>
    <w:r w:rsidRPr="00BA48F3">
      <w:rPr>
        <w:rFonts w:ascii="Staatliches" w:eastAsia="Arial" w:hAnsi="Staatliches" w:cs="Arial"/>
        <w:color w:val="004493"/>
        <w:spacing w:val="30"/>
        <w:sz w:val="14"/>
        <w:szCs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BA48F3">
      <w:rPr>
        <w:rFonts w:ascii="Staatliches" w:hAnsi="Staatliches" w:cs="Arial"/>
        <w:color w:val="004493"/>
        <w:spacing w:val="30"/>
        <w:sz w:val="14"/>
        <w:szCs w:val="1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MOBILITY PROJECTS</w:t>
    </w:r>
  </w:p>
  <w:p w14:paraId="22A6F76C" w14:textId="77777777" w:rsidR="00D95C5D" w:rsidRPr="00524109" w:rsidRDefault="00D95C5D" w:rsidP="00863D02">
    <w:pPr>
      <w:pStyle w:val="Fejlcslblc"/>
      <w:tabs>
        <w:tab w:val="clear" w:pos="9020"/>
        <w:tab w:val="center" w:pos="4819"/>
        <w:tab w:val="right" w:pos="9638"/>
      </w:tabs>
      <w:ind w:left="113"/>
      <w:jc w:val="center"/>
      <w:rPr>
        <w:rFonts w:ascii="Staatliches" w:hAnsi="Staatliches" w:cs="Arial"/>
        <w:color w:val="004493"/>
        <w:spacing w:val="30"/>
        <w:sz w:val="20"/>
        <w:szCs w:val="20"/>
      </w:rPr>
    </w:pPr>
    <w:r w:rsidRPr="00BA48F3">
      <w:rPr>
        <w:rFonts w:ascii="Staatliches" w:hAnsi="Staatliches" w:cs="Arial"/>
        <w:bCs/>
        <w:color w:val="004493"/>
        <w:spacing w:val="3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KA 210 PROJECT OF ERASMUS+ PROGRAMME</w:t>
    </w:r>
  </w:p>
  <w:p w14:paraId="7A6EBCA7" w14:textId="77777777" w:rsidR="00D95C5D" w:rsidRPr="001D71E4" w:rsidRDefault="00B228B5" w:rsidP="00D95C5D">
    <w:pPr>
      <w:pStyle w:val="lfej"/>
      <w:jc w:val="center"/>
      <w:rPr>
        <w:color w:val="004493"/>
      </w:rPr>
    </w:pPr>
    <w:r>
      <w:rPr>
        <w:noProof/>
        <w:color w:val="00449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D32FA1" wp14:editId="50D721C8">
              <wp:simplePos x="0" y="0"/>
              <wp:positionH relativeFrom="column">
                <wp:posOffset>-720090</wp:posOffset>
              </wp:positionH>
              <wp:positionV relativeFrom="paragraph">
                <wp:posOffset>151765</wp:posOffset>
              </wp:positionV>
              <wp:extent cx="7613650" cy="0"/>
              <wp:effectExtent l="0" t="0" r="0" b="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36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DB9BC" id="Egyenes összekötő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1.95pt" to="542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" strokecolor="#4472c4 [3204]" strokeweight="1.5pt">
              <v:shadow on="t" color="black" opacity="18350f" origin=",.5" offset="0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B000" w14:textId="77777777" w:rsidR="00E04EA7" w:rsidRDefault="00E04E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6194"/>
    <w:multiLevelType w:val="multilevel"/>
    <w:tmpl w:val="6F5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60B40"/>
    <w:multiLevelType w:val="multilevel"/>
    <w:tmpl w:val="72CA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E52E9"/>
    <w:multiLevelType w:val="multilevel"/>
    <w:tmpl w:val="07A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D3E6A"/>
    <w:multiLevelType w:val="multilevel"/>
    <w:tmpl w:val="451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44E08"/>
    <w:multiLevelType w:val="multilevel"/>
    <w:tmpl w:val="ACA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94F79"/>
    <w:multiLevelType w:val="multilevel"/>
    <w:tmpl w:val="24F0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5626C"/>
    <w:multiLevelType w:val="multilevel"/>
    <w:tmpl w:val="225C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62521"/>
    <w:multiLevelType w:val="multilevel"/>
    <w:tmpl w:val="15B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90938"/>
    <w:multiLevelType w:val="multilevel"/>
    <w:tmpl w:val="C0B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119D0"/>
    <w:multiLevelType w:val="multilevel"/>
    <w:tmpl w:val="5E1A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DC05B7"/>
    <w:multiLevelType w:val="multilevel"/>
    <w:tmpl w:val="EC8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02C19"/>
    <w:multiLevelType w:val="multilevel"/>
    <w:tmpl w:val="D636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5D"/>
    <w:rsid w:val="001463EC"/>
    <w:rsid w:val="001D71E4"/>
    <w:rsid w:val="00524109"/>
    <w:rsid w:val="005D75AC"/>
    <w:rsid w:val="00724BE1"/>
    <w:rsid w:val="00732497"/>
    <w:rsid w:val="007875D3"/>
    <w:rsid w:val="007E3056"/>
    <w:rsid w:val="0080189F"/>
    <w:rsid w:val="00863D02"/>
    <w:rsid w:val="00956B24"/>
    <w:rsid w:val="00B228B5"/>
    <w:rsid w:val="00B8322F"/>
    <w:rsid w:val="00BA48F3"/>
    <w:rsid w:val="00C265F5"/>
    <w:rsid w:val="00C53962"/>
    <w:rsid w:val="00C64A28"/>
    <w:rsid w:val="00CD5E7A"/>
    <w:rsid w:val="00D03020"/>
    <w:rsid w:val="00D95C5D"/>
    <w:rsid w:val="00E04EA7"/>
    <w:rsid w:val="00F1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7F3FA"/>
  <w15:chartTrackingRefBased/>
  <w15:docId w15:val="{68BBDE32-551C-4C5F-9AEC-37DB9E3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3EC"/>
    <w:pPr>
      <w:spacing w:before="120" w:after="120" w:line="276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5C5D"/>
  </w:style>
  <w:style w:type="paragraph" w:styleId="llb">
    <w:name w:val="footer"/>
    <w:basedOn w:val="Norml"/>
    <w:link w:val="llbChar"/>
    <w:uiPriority w:val="99"/>
    <w:unhideWhenUsed/>
    <w:rsid w:val="00D95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5C5D"/>
  </w:style>
  <w:style w:type="paragraph" w:customStyle="1" w:styleId="Fejlcslblc">
    <w:name w:val="Fejléc és lábléc"/>
    <w:rsid w:val="00D95C5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styleId="Hiperhivatkozs">
    <w:name w:val="Hyperlink"/>
    <w:basedOn w:val="Bekezdsalapbettpusa"/>
    <w:uiPriority w:val="99"/>
    <w:unhideWhenUsed/>
    <w:rsid w:val="001463E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463EC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C53962"/>
    <w:rPr>
      <w:b/>
      <w:bCs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C53962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u-HU"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C53962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C53962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u-HU"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C53962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ükröződé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F0EF-38CF-4FBC-996A-503FF77D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</dc:creator>
  <cp:keywords/>
  <dc:description/>
  <cp:lastModifiedBy>DCS</cp:lastModifiedBy>
  <cp:revision>3</cp:revision>
  <cp:lastPrinted>2023-11-17T18:28:00Z</cp:lastPrinted>
  <dcterms:created xsi:type="dcterms:W3CDTF">2023-11-23T17:12:00Z</dcterms:created>
  <dcterms:modified xsi:type="dcterms:W3CDTF">2023-11-23T17:15:00Z</dcterms:modified>
</cp:coreProperties>
</file>